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5DCF9" w14:textId="6399F1AE" w:rsidR="00A66E4A" w:rsidRDefault="00A66E4A" w:rsidP="00A66E4A">
      <w:pPr>
        <w:autoSpaceDE w:val="0"/>
        <w:autoSpaceDN w:val="0"/>
        <w:adjustRightInd w:val="0"/>
        <w:ind w:firstLineChars="100" w:firstLine="240"/>
        <w:jc w:val="both"/>
        <w:rPr>
          <w:rFonts w:ascii="Times New Roman" w:eastAsia="微软雅黑" w:hAnsi="Times New Roman"/>
        </w:rPr>
      </w:pPr>
      <w:r w:rsidRPr="00A66E4A">
        <w:rPr>
          <w:rFonts w:ascii="Times New Roman" w:eastAsiaTheme="minorEastAsia" w:hAnsi="Times New Roman" w:cs="Times New Roman"/>
          <w:b/>
          <w:bCs/>
          <w:kern w:val="2"/>
          <w:szCs w:val="28"/>
        </w:rPr>
        <w:t>Characterizing Tetrodotoxin-Induced Neurotoxicity in Human Cerebral Organoids: Insights into Molecular Basis and Regulatory Networks</w:t>
      </w:r>
    </w:p>
    <w:p w14:paraId="517BE912" w14:textId="64A2A521" w:rsidR="00A66E4A" w:rsidRDefault="00A66E4A" w:rsidP="00A66E4A">
      <w:pPr>
        <w:autoSpaceDE w:val="0"/>
        <w:autoSpaceDN w:val="0"/>
        <w:adjustRightInd w:val="0"/>
        <w:ind w:firstLineChars="100" w:firstLine="240"/>
        <w:jc w:val="both"/>
        <w:rPr>
          <w:rFonts w:ascii="Times New Roman" w:eastAsia="微软雅黑" w:hAnsi="Times New Roman"/>
        </w:rPr>
      </w:pPr>
      <w:r>
        <w:rPr>
          <w:rFonts w:ascii="Times New Roman" w:eastAsia="微软雅黑" w:hAnsi="Times New Roman"/>
        </w:rPr>
        <w:t xml:space="preserve">Total RNA was extracted with </w:t>
      </w:r>
      <w:proofErr w:type="spellStart"/>
      <w:r>
        <w:rPr>
          <w:rFonts w:ascii="Times New Roman" w:eastAsia="微软雅黑" w:hAnsi="Times New Roman"/>
        </w:rPr>
        <w:t>Trizol</w:t>
      </w:r>
      <w:proofErr w:type="spellEnd"/>
      <w:r>
        <w:rPr>
          <w:rFonts w:ascii="Times New Roman" w:eastAsia="微软雅黑" w:hAnsi="Times New Roman"/>
        </w:rPr>
        <w:t xml:space="preserve"> (Invitrogen, USA). RNA integrity was assessed with Agilent 2100 Bioanalyzer (Agilent Technologies, USA) and RNA concentration was measured by Qubit RNA Assay Kit in Qubit Fluorometer (Invitrogen, USA). Total RNA samples that meet the following requirements were used in subsequent experiments: RNA integrity number (RIN) ≥7.0 and a 28S:18S ratio ≥ 1.5. </w:t>
      </w:r>
    </w:p>
    <w:p w14:paraId="19A92AB6" w14:textId="77777777" w:rsidR="00A66E4A" w:rsidRDefault="00A66E4A" w:rsidP="00A66E4A">
      <w:pPr>
        <w:autoSpaceDE w:val="0"/>
        <w:autoSpaceDN w:val="0"/>
        <w:adjustRightInd w:val="0"/>
        <w:ind w:firstLineChars="100" w:firstLine="240"/>
        <w:jc w:val="both"/>
        <w:rPr>
          <w:rFonts w:ascii="Times New Roman" w:eastAsia="微软雅黑" w:hAnsi="Times New Roman"/>
        </w:rPr>
      </w:pPr>
      <w:r>
        <w:rPr>
          <w:rFonts w:ascii="Times New Roman" w:eastAsia="微软雅黑" w:hAnsi="Times New Roman"/>
        </w:rPr>
        <w:t xml:space="preserve">A total amount of 1 </w:t>
      </w:r>
      <w:proofErr w:type="spellStart"/>
      <w:r>
        <w:rPr>
          <w:rFonts w:ascii="Times New Roman" w:eastAsia="微软雅黑" w:hAnsi="Times New Roman"/>
        </w:rPr>
        <w:t>μg</w:t>
      </w:r>
      <w:proofErr w:type="spellEnd"/>
      <w:r>
        <w:rPr>
          <w:rFonts w:ascii="Times New Roman" w:eastAsia="微软雅黑" w:hAnsi="Times New Roman"/>
        </w:rPr>
        <w:t xml:space="preserve"> RNA per sample was used. In brief, The Ribo-Zero™ Magnetic Kit (</w:t>
      </w:r>
      <w:proofErr w:type="spellStart"/>
      <w:r>
        <w:rPr>
          <w:rFonts w:ascii="Times New Roman" w:eastAsia="微软雅黑" w:hAnsi="Times New Roman"/>
        </w:rPr>
        <w:t>Epicentre</w:t>
      </w:r>
      <w:proofErr w:type="spellEnd"/>
      <w:r>
        <w:rPr>
          <w:rFonts w:ascii="Times New Roman" w:eastAsia="微软雅黑" w:hAnsi="Times New Roman"/>
        </w:rPr>
        <w:t xml:space="preserve">, USA) was used to remove rRNA from the total RNA. The </w:t>
      </w:r>
      <w:proofErr w:type="spellStart"/>
      <w:r>
        <w:rPr>
          <w:rFonts w:ascii="Times New Roman" w:eastAsia="微软雅黑" w:hAnsi="Times New Roman"/>
        </w:rPr>
        <w:t>NEBNext</w:t>
      </w:r>
      <w:proofErr w:type="spellEnd"/>
      <w:r>
        <w:rPr>
          <w:rFonts w:ascii="Times New Roman" w:eastAsia="微软雅黑" w:hAnsi="Times New Roman"/>
        </w:rPr>
        <w:t xml:space="preserve"> Ultra RNA Library Prep Kit for Illumina (NEB, USA) was used to construct the libraries for sequencing following manufacturer’s instructions. The RNA was fragmented into pieces of ~200 base pair in length in </w:t>
      </w:r>
      <w:proofErr w:type="spellStart"/>
      <w:r>
        <w:rPr>
          <w:rFonts w:ascii="Times New Roman" w:eastAsia="微软雅黑" w:hAnsi="Times New Roman"/>
        </w:rPr>
        <w:t>NEBNext</w:t>
      </w:r>
      <w:proofErr w:type="spellEnd"/>
      <w:r>
        <w:rPr>
          <w:rFonts w:ascii="Times New Roman" w:eastAsia="微软雅黑" w:hAnsi="Times New Roman"/>
        </w:rPr>
        <w:t xml:space="preserve"> First Strand Synthesis Reaction Buffer (5</w:t>
      </w:r>
      <w:r>
        <w:rPr>
          <w:rFonts w:ascii="Times New Roman" w:eastAsia="微软雅黑" w:hAnsi="Times New Roman" w:cs="Times New Roman"/>
        </w:rPr>
        <w:t>×</w:t>
      </w:r>
      <w:r>
        <w:rPr>
          <w:rFonts w:ascii="Times New Roman" w:eastAsia="微软雅黑" w:hAnsi="Times New Roman"/>
        </w:rPr>
        <w:t xml:space="preserve">). The first-strand cDNA was synthesized from the RNA fragments by reverse transcriptase and random hexamer primers, and then the second-strand cDNA was synthesized in Second Strand Synthesis Reaction Buffer with </w:t>
      </w:r>
      <w:proofErr w:type="spellStart"/>
      <w:r>
        <w:rPr>
          <w:rFonts w:ascii="Times New Roman" w:eastAsia="微软雅黑" w:hAnsi="Times New Roman"/>
        </w:rPr>
        <w:t>dUTP</w:t>
      </w:r>
      <w:proofErr w:type="spellEnd"/>
      <w:r>
        <w:rPr>
          <w:rFonts w:ascii="Times New Roman" w:eastAsia="微软雅黑" w:hAnsi="Times New Roman"/>
        </w:rPr>
        <w:t xml:space="preserve"> Mix (10x). The end of the cDNA fragment was subjected to an end repair process that included the addition of a single “A” base, followed by ligation of the adapters. Products were purified and enriched by polymerase chain reaction (PCR) to amplify the library DNA. The final libraries were qualified by Agilent 2100 and quantified using KAPA Library Quantification kit (KAPA Biosystems, South Africa). And finally, the libraries were subjected to paired-end sequencing with pair end 150-base pair reading length on an Illumina </w:t>
      </w:r>
      <w:proofErr w:type="spellStart"/>
      <w:r>
        <w:rPr>
          <w:rFonts w:ascii="Times New Roman" w:eastAsia="微软雅黑" w:hAnsi="Times New Roman"/>
        </w:rPr>
        <w:t>NovaSeq</w:t>
      </w:r>
      <w:proofErr w:type="spellEnd"/>
      <w:r>
        <w:rPr>
          <w:rFonts w:ascii="Times New Roman" w:eastAsia="微软雅黑" w:hAnsi="Times New Roman"/>
        </w:rPr>
        <w:t xml:space="preserve"> sequencer (</w:t>
      </w:r>
      <w:r>
        <w:rPr>
          <w:rFonts w:ascii="Times New Roman" w:hAnsi="Times New Roman" w:cs="Times New Roman"/>
        </w:rPr>
        <w:t xml:space="preserve">Illumina </w:t>
      </w:r>
      <w:proofErr w:type="spellStart"/>
      <w:r>
        <w:rPr>
          <w:rFonts w:ascii="Times New Roman" w:hAnsi="Times New Roman" w:cs="Times New Roman"/>
        </w:rPr>
        <w:t>Novaseq</w:t>
      </w:r>
      <w:proofErr w:type="spellEnd"/>
      <w:r>
        <w:rPr>
          <w:rFonts w:ascii="Times New Roman" w:hAnsi="Times New Roman" w:cs="Times New Roman"/>
        </w:rPr>
        <w:t xml:space="preserve"> 6000, USA</w:t>
      </w:r>
      <w:r>
        <w:rPr>
          <w:rFonts w:ascii="Times New Roman" w:eastAsia="微软雅黑" w:hAnsi="Times New Roman"/>
        </w:rPr>
        <w:t xml:space="preserve">). The sequencing quality of raw data of </w:t>
      </w:r>
      <w:proofErr w:type="spellStart"/>
      <w:r>
        <w:rPr>
          <w:rFonts w:ascii="Times New Roman" w:eastAsia="微软雅黑" w:hAnsi="Times New Roman"/>
        </w:rPr>
        <w:t>fastq</w:t>
      </w:r>
      <w:proofErr w:type="spellEnd"/>
      <w:r>
        <w:rPr>
          <w:rFonts w:ascii="Times New Roman" w:eastAsia="微软雅黑" w:hAnsi="Times New Roman"/>
        </w:rPr>
        <w:t xml:space="preserve"> format was assessed with </w:t>
      </w:r>
      <w:proofErr w:type="spellStart"/>
      <w:r>
        <w:rPr>
          <w:rFonts w:ascii="Times New Roman" w:eastAsia="微软雅黑" w:hAnsi="Times New Roman"/>
        </w:rPr>
        <w:t>FastQC</w:t>
      </w:r>
      <w:proofErr w:type="spellEnd"/>
      <w:r>
        <w:rPr>
          <w:rFonts w:ascii="Times New Roman" w:eastAsia="微软雅黑" w:hAnsi="Times New Roman"/>
        </w:rPr>
        <w:t xml:space="preserve"> and then </w:t>
      </w:r>
      <w:proofErr w:type="gramStart"/>
      <w:r>
        <w:rPr>
          <w:rFonts w:ascii="Times New Roman" w:eastAsia="微软雅黑" w:hAnsi="Times New Roman"/>
        </w:rPr>
        <w:t>low quality</w:t>
      </w:r>
      <w:proofErr w:type="gramEnd"/>
      <w:r>
        <w:rPr>
          <w:rFonts w:ascii="Times New Roman" w:eastAsia="微软雅黑" w:hAnsi="Times New Roman"/>
        </w:rPr>
        <w:t xml:space="preserve"> data were filtered using </w:t>
      </w:r>
      <w:bookmarkStart w:id="0" w:name="OLE_LINK35"/>
      <w:r>
        <w:rPr>
          <w:rFonts w:ascii="Times New Roman" w:eastAsia="微软雅黑" w:hAnsi="Times New Roman"/>
        </w:rPr>
        <w:t>cross-platform quality analysis pipeline for deep sequencing data (NGSQC</w:t>
      </w:r>
      <w:bookmarkEnd w:id="0"/>
      <w:r>
        <w:rPr>
          <w:rFonts w:ascii="Times New Roman" w:eastAsia="微软雅黑" w:hAnsi="Times New Roman"/>
        </w:rPr>
        <w:t xml:space="preserve">). The clean reads with high quality were then aligned to the reference genome using Tophat2 with default parameters. The genome of human genome version of hg38 (UCSC) was used as the reference. Software of Cufflinks and </w:t>
      </w:r>
      <w:proofErr w:type="spellStart"/>
      <w:r>
        <w:rPr>
          <w:rFonts w:ascii="Times New Roman" w:eastAsia="微软雅黑" w:hAnsi="Times New Roman"/>
        </w:rPr>
        <w:t>Cuffmerge</w:t>
      </w:r>
      <w:proofErr w:type="spellEnd"/>
      <w:r>
        <w:rPr>
          <w:rFonts w:ascii="Times New Roman" w:eastAsia="微软雅黑" w:hAnsi="Times New Roman"/>
        </w:rPr>
        <w:t xml:space="preserve"> was used to assembly the transcripts. </w:t>
      </w:r>
    </w:p>
    <w:p w14:paraId="4B775B7C" w14:textId="00CCE032" w:rsidR="00805F44" w:rsidRPr="004D2F09" w:rsidRDefault="00A66E4A" w:rsidP="00B602E5">
      <w:pPr>
        <w:autoSpaceDE w:val="0"/>
        <w:autoSpaceDN w:val="0"/>
        <w:adjustRightInd w:val="0"/>
        <w:ind w:firstLineChars="100" w:firstLine="240"/>
        <w:jc w:val="both"/>
        <w:rPr>
          <w:rFonts w:ascii="Times New Roman" w:hAnsi="Times New Roman" w:cs="Times New Roman" w:hint="eastAsia"/>
        </w:rPr>
      </w:pPr>
      <w:r>
        <w:rPr>
          <w:rFonts w:ascii="Times New Roman" w:eastAsia="微软雅黑" w:hAnsi="Times New Roman"/>
        </w:rPr>
        <w:t xml:space="preserve">All the subsequent comparing analyses of lncRNA and mRNA were based on the results of the transcripts. The transcripts that corresponding to the mRNA or lncRNA has been collected by databases was treated as known mRNA of lncRNA and annotated based on the information from public databases. The novel transcripts will be treated as novel lncRNA when its sequence length &gt; 200 and predicted to be a non-coding RNA. The differential expression analyses were performed using </w:t>
      </w:r>
      <w:proofErr w:type="spellStart"/>
      <w:r>
        <w:rPr>
          <w:rFonts w:ascii="Times New Roman" w:eastAsia="微软雅黑" w:hAnsi="Times New Roman"/>
        </w:rPr>
        <w:t>limma</w:t>
      </w:r>
      <w:proofErr w:type="spellEnd"/>
      <w:r>
        <w:rPr>
          <w:rFonts w:ascii="Times New Roman" w:eastAsia="微软雅黑" w:hAnsi="Times New Roman"/>
        </w:rPr>
        <w:t xml:space="preserve"> package and </w:t>
      </w:r>
      <w:proofErr w:type="spellStart"/>
      <w:r>
        <w:rPr>
          <w:rFonts w:ascii="Times New Roman" w:eastAsia="微软雅黑" w:hAnsi="Times New Roman"/>
        </w:rPr>
        <w:t>edgeR</w:t>
      </w:r>
      <w:proofErr w:type="spellEnd"/>
      <w:r>
        <w:rPr>
          <w:rFonts w:ascii="Times New Roman" w:eastAsia="微软雅黑" w:hAnsi="Times New Roman"/>
        </w:rPr>
        <w:t xml:space="preserve">. Functional annotation and enrichment analyses were performed using KOBAS 3.0. The target gene of the lncRNA were predicted based on cis- and trans-pattern based on location on reference genome and sequence similarity. </w:t>
      </w:r>
      <w:r>
        <w:rPr>
          <w:rFonts w:ascii="Times New Roman" w:hAnsi="Times New Roman" w:cs="Times New Roman"/>
        </w:rPr>
        <w:t xml:space="preserve">For miRNA sequencing libraries, they were created separately. 1μg of total RNA per sample was used as input material for the miRNA library, and fragments ranging from 18 to 30nt were selected by agarose gel electrophoresis. The 3 'and 5' adaptors were ligated respectively, and then the miRNAs connected to the two sides of the adaptors were reverse transcription and PCR amplification. The approximately 140bp bands were recovered and purified by 6 to 8% agarose gels to complete library construction and finally sequenced on an Illumina </w:t>
      </w:r>
      <w:proofErr w:type="spellStart"/>
      <w:r>
        <w:rPr>
          <w:rFonts w:ascii="Times New Roman" w:hAnsi="Times New Roman" w:cs="Times New Roman"/>
        </w:rPr>
        <w:t>HiSeq</w:t>
      </w:r>
      <w:proofErr w:type="spellEnd"/>
      <w:r>
        <w:rPr>
          <w:rFonts w:ascii="Times New Roman" w:hAnsi="Times New Roman" w:cs="Times New Roman"/>
        </w:rPr>
        <w:t xml:space="preserve"> sequencer for 50 cycles.</w:t>
      </w:r>
    </w:p>
    <w:sectPr w:rsidR="00805F44" w:rsidRPr="004D2F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6C11B" w14:textId="77777777" w:rsidR="008636F7" w:rsidRDefault="008636F7" w:rsidP="004D2F09">
      <w:r>
        <w:separator/>
      </w:r>
    </w:p>
  </w:endnote>
  <w:endnote w:type="continuationSeparator" w:id="0">
    <w:p w14:paraId="0EEEE788" w14:textId="77777777" w:rsidR="008636F7" w:rsidRDefault="008636F7" w:rsidP="004D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5E52F" w14:textId="77777777" w:rsidR="008636F7" w:rsidRDefault="008636F7" w:rsidP="004D2F09">
      <w:r>
        <w:separator/>
      </w:r>
    </w:p>
  </w:footnote>
  <w:footnote w:type="continuationSeparator" w:id="0">
    <w:p w14:paraId="08E31C2F" w14:textId="77777777" w:rsidR="008636F7" w:rsidRDefault="008636F7" w:rsidP="004D2F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E4A"/>
    <w:rsid w:val="004D2F09"/>
    <w:rsid w:val="00805F44"/>
    <w:rsid w:val="008636F7"/>
    <w:rsid w:val="00A66E4A"/>
    <w:rsid w:val="00B602E5"/>
    <w:rsid w:val="00C26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ED497B"/>
  <w14:defaultImageDpi w14:val="32767"/>
  <w15:chartTrackingRefBased/>
  <w15:docId w15:val="{57A0C9ED-E036-42F5-9BD3-6C74E1968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kern w:val="2"/>
        <w:sz w:val="30"/>
        <w:szCs w:val="3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6E4A"/>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F09"/>
    <w:pPr>
      <w:tabs>
        <w:tab w:val="center" w:pos="4153"/>
        <w:tab w:val="right" w:pos="8306"/>
      </w:tabs>
      <w:snapToGrid w:val="0"/>
      <w:jc w:val="center"/>
    </w:pPr>
    <w:rPr>
      <w:sz w:val="18"/>
      <w:szCs w:val="18"/>
    </w:rPr>
  </w:style>
  <w:style w:type="character" w:customStyle="1" w:styleId="a4">
    <w:name w:val="页眉 字符"/>
    <w:basedOn w:val="a0"/>
    <w:link w:val="a3"/>
    <w:uiPriority w:val="99"/>
    <w:rsid w:val="004D2F09"/>
    <w:rPr>
      <w:rFonts w:ascii="宋体" w:hAnsi="宋体" w:cs="宋体"/>
      <w:kern w:val="0"/>
      <w:sz w:val="18"/>
      <w:szCs w:val="18"/>
    </w:rPr>
  </w:style>
  <w:style w:type="paragraph" w:styleId="a5">
    <w:name w:val="footer"/>
    <w:basedOn w:val="a"/>
    <w:link w:val="a6"/>
    <w:uiPriority w:val="99"/>
    <w:unhideWhenUsed/>
    <w:rsid w:val="004D2F09"/>
    <w:pPr>
      <w:tabs>
        <w:tab w:val="center" w:pos="4153"/>
        <w:tab w:val="right" w:pos="8306"/>
      </w:tabs>
      <w:snapToGrid w:val="0"/>
    </w:pPr>
    <w:rPr>
      <w:sz w:val="18"/>
      <w:szCs w:val="18"/>
    </w:rPr>
  </w:style>
  <w:style w:type="character" w:customStyle="1" w:styleId="a6">
    <w:name w:val="页脚 字符"/>
    <w:basedOn w:val="a0"/>
    <w:link w:val="a5"/>
    <w:uiPriority w:val="99"/>
    <w:rsid w:val="004D2F09"/>
    <w:rPr>
      <w:rFonts w:ascii="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11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488</Words>
  <Characters>2992</Characters>
  <Application>Microsoft Office Word</Application>
  <DocSecurity>0</DocSecurity>
  <Lines>43</Lines>
  <Paragraphs>9</Paragraphs>
  <ScaleCrop>false</ScaleCrop>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Zhanbiao Liu</dc:creator>
  <cp:keywords/>
  <dc:description/>
  <cp:lastModifiedBy>Zhanbiao Liu</cp:lastModifiedBy>
  <cp:revision>3</cp:revision>
  <dcterms:created xsi:type="dcterms:W3CDTF">2023-09-28T15:04:00Z</dcterms:created>
  <dcterms:modified xsi:type="dcterms:W3CDTF">2023-10-26T15:59:00Z</dcterms:modified>
</cp:coreProperties>
</file>